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484BD">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85299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1485299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427A35DC">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四川省泸县第九中学</w:t>
      </w:r>
    </w:p>
    <w:p w14:paraId="118ED594">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5CA4A5DD">
      <w:pPr>
        <w:pStyle w:val="2"/>
      </w:pPr>
    </w:p>
    <w:p w14:paraId="16C97FE5">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按照县财政局的工作安排，开展</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年1月至8月部门预算执行、调整情况以及绩效目标完成和实现情况的绩效监控相关工作。</w:t>
      </w:r>
    </w:p>
    <w:p w14:paraId="5FFFCE67">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18B15834">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学校积极宣传贯彻执行党和国家的教育方针、政策、法律法规等，坚持依法治教、依法治学。积极配合县政府制定符合党的教育方针和国家教育法律法规以及本校实际的教育发展规划和学校布局调整规划，并抓好组织实施和落实工作。认真实施初中义务教育和高中学历教育，促进基础教育发展</w:t>
      </w:r>
      <w:r>
        <w:rPr>
          <w:rFonts w:hint="eastAsia" w:ascii="Times New Roman" w:hAnsi="Times New Roman" w:eastAsia="仿宋_GB2312" w:cs="Times New Roman"/>
          <w:color w:val="auto"/>
          <w:sz w:val="32"/>
          <w:szCs w:val="32"/>
          <w:lang w:eastAsia="zh-CN"/>
        </w:rPr>
        <w:t>。</w:t>
      </w:r>
    </w:p>
    <w:p w14:paraId="1D6BB753">
      <w:pPr>
        <w:pStyle w:val="2"/>
        <w:numPr>
          <w:ilvl w:val="0"/>
          <w:numId w:val="0"/>
        </w:numPr>
      </w:pPr>
    </w:p>
    <w:p w14:paraId="5B9CFF4F">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7CD08B50">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四川省泸县第九中学是泸州市一级示范性普通高中，属于全额拨款事业单位，学校设有行政办公室、党委办公室、教务处、德育处、教科处、安保处、艺体处、总务处、工会、团委10个处室，具体负责学校相关工作的开展。2024年实有在职教职工</w:t>
      </w:r>
      <w:r>
        <w:rPr>
          <w:rFonts w:hint="eastAsia" w:ascii="Times New Roman" w:hAnsi="Times New Roman" w:eastAsia="仿宋_GB2312" w:cs="Times New Roman"/>
          <w:color w:val="auto"/>
          <w:sz w:val="32"/>
          <w:szCs w:val="32"/>
          <w:highlight w:val="none"/>
          <w:lang w:val="en-US" w:eastAsia="zh-CN"/>
        </w:rPr>
        <w:t>241</w:t>
      </w:r>
      <w:r>
        <w:rPr>
          <w:rFonts w:hint="eastAsia" w:ascii="Times New Roman" w:hAnsi="Times New Roman" w:eastAsia="仿宋_GB2312" w:cs="Times New Roman"/>
          <w:color w:val="auto"/>
          <w:sz w:val="32"/>
          <w:szCs w:val="32"/>
          <w:lang w:val="en-US" w:eastAsia="zh-CN"/>
        </w:rPr>
        <w:t>人，其中初中48人，高中193人；遗属抚养人员10人；</w:t>
      </w:r>
      <w:bookmarkStart w:id="0" w:name="_GoBack"/>
      <w:bookmarkEnd w:id="0"/>
      <w:r>
        <w:rPr>
          <w:rFonts w:hint="eastAsia" w:ascii="Times New Roman" w:hAnsi="Times New Roman" w:eastAsia="仿宋_GB2312" w:cs="Times New Roman"/>
          <w:color w:val="auto"/>
          <w:sz w:val="32"/>
          <w:szCs w:val="32"/>
          <w:lang w:val="en-US" w:eastAsia="zh-CN"/>
        </w:rPr>
        <w:t>教学班级初中6个，学生165人；高中</w:t>
      </w:r>
      <w:r>
        <w:rPr>
          <w:rFonts w:hint="eastAsia" w:ascii="Times New Roman" w:hAnsi="Times New Roman" w:eastAsia="仿宋_GB2312" w:cs="Times New Roman"/>
          <w:color w:val="auto"/>
          <w:sz w:val="32"/>
          <w:szCs w:val="32"/>
          <w:highlight w:val="none"/>
          <w:lang w:val="en-US" w:eastAsia="zh-CN"/>
        </w:rPr>
        <w:t>54个，学生2959人。</w:t>
      </w:r>
    </w:p>
    <w:p w14:paraId="46B95B3B">
      <w:pPr>
        <w:pStyle w:val="2"/>
        <w:numPr>
          <w:ilvl w:val="0"/>
          <w:numId w:val="0"/>
        </w:numPr>
        <w:ind w:leftChars="200"/>
      </w:pPr>
    </w:p>
    <w:p w14:paraId="5B4B57A4">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7C090CD5">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16B4C486">
      <w:pPr>
        <w:keepNext w:val="0"/>
        <w:keepLines w:val="0"/>
        <w:pageBreakBefore w:val="0"/>
        <w:kinsoku/>
        <w:wordWrap/>
        <w:overflowPunct/>
        <w:topLinePunct w:val="0"/>
        <w:autoSpaceDN/>
        <w:bidi w:val="0"/>
        <w:spacing w:line="578" w:lineRule="exact"/>
        <w:ind w:firstLine="640" w:firstLineChars="200"/>
        <w:jc w:val="left"/>
        <w:rPr>
          <w:rFonts w:hint="eastAsia" w:ascii="Times New Roman" w:hAnsi="Times New Roman" w:eastAsia="仿宋_GB2312" w:cs="Times New Roman"/>
          <w:color w:val="auto"/>
          <w:sz w:val="32"/>
          <w:szCs w:val="32"/>
        </w:rPr>
      </w:pPr>
      <w:r>
        <w:rPr>
          <w:rFonts w:ascii="Times New Roman" w:hAnsi="Times New Roman" w:eastAsia="仿宋_GB2312" w:cs="Times New Roman"/>
          <w:color w:val="000000"/>
          <w:sz w:val="32"/>
          <w:szCs w:val="32"/>
        </w:rPr>
        <w:t>公用支出，</w:t>
      </w:r>
      <w:r>
        <w:rPr>
          <w:rFonts w:hint="default" w:ascii="Times New Roman" w:hAnsi="Times New Roman" w:eastAsia="仿宋_GB2312" w:cs="Times New Roman"/>
          <w:color w:val="auto"/>
          <w:sz w:val="32"/>
          <w:szCs w:val="32"/>
        </w:rPr>
        <w:t>是用于</w:t>
      </w:r>
      <w:r>
        <w:rPr>
          <w:rFonts w:hint="eastAsia" w:ascii="Times New Roman" w:hAnsi="Times New Roman" w:eastAsia="仿宋_GB2312" w:cs="Times New Roman"/>
          <w:color w:val="auto"/>
          <w:sz w:val="32"/>
          <w:szCs w:val="32"/>
          <w:lang w:val="en-US" w:eastAsia="zh-CN"/>
        </w:rPr>
        <w:t>办公、差旅、培训、工会福利</w:t>
      </w:r>
      <w:r>
        <w:rPr>
          <w:rFonts w:hint="default" w:ascii="Times New Roman" w:hAnsi="Times New Roman" w:eastAsia="仿宋_GB2312" w:cs="Times New Roman"/>
          <w:color w:val="auto"/>
          <w:sz w:val="32"/>
          <w:szCs w:val="32"/>
        </w:rPr>
        <w:t>等日常公用支出。</w:t>
      </w:r>
    </w:p>
    <w:p w14:paraId="0592951D">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val="en-US" w:eastAsia="zh-CN"/>
        </w:rPr>
        <w:t>校园建设</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400</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lang w:val="en-US" w:eastAsia="zh-CN"/>
        </w:rPr>
        <w:t>教育高质量发展</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7.86</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rPr>
        <w:t>2024年一般债券：县属中学能力提升基础设施建设项目</w:t>
      </w:r>
      <w:r>
        <w:rPr>
          <w:rFonts w:hint="eastAsia" w:ascii="Times New Roman" w:hAnsi="Times New Roman" w:eastAsia="仿宋_GB2312" w:cs="Times New Roman"/>
          <w:color w:val="000000"/>
          <w:sz w:val="32"/>
          <w:szCs w:val="32"/>
          <w:lang w:val="en-US" w:eastAsia="zh-CN"/>
        </w:rPr>
        <w:t>经费200万元。</w:t>
      </w:r>
    </w:p>
    <w:p w14:paraId="6E2E2DA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4714B96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1A058259">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141.58</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401.56</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35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133.64</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607.86</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21</w:t>
      </w:r>
      <w:r>
        <w:rPr>
          <w:rFonts w:ascii="Times New Roman" w:hAnsi="Times New Roman" w:eastAsia="仿宋_GB2312" w:cs="Times New Roman"/>
          <w:color w:val="000000"/>
          <w:sz w:val="32"/>
          <w:szCs w:val="32"/>
        </w:rPr>
        <w:t>%。</w:t>
      </w:r>
    </w:p>
    <w:p w14:paraId="08336C4D">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04905D4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14:paraId="5FA63D61">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保障学校正常运转、履行教育教学相关职能职责；积极改善办学条件，完善学校教学设备设施，为师生提供良好的工作学习环境；加大青年教师培养力度，加强教职工外出学习培训，努力提高教育教学质量，为社会培养更多优秀人才。</w:t>
      </w:r>
    </w:p>
    <w:p w14:paraId="1FD6DBB0">
      <w:pPr>
        <w:pStyle w:val="2"/>
      </w:pPr>
    </w:p>
    <w:p w14:paraId="1B7C533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14:paraId="209194C3">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607.86</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607.86</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项目资金财政全部落实到位。</w:t>
      </w:r>
    </w:p>
    <w:p w14:paraId="429137D6">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14:paraId="3403F587">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校园建设</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133.64</w:t>
      </w:r>
      <w:r>
        <w:rPr>
          <w:rFonts w:ascii="Times New Roman" w:hAnsi="Times New Roman" w:eastAsia="仿宋_GB2312" w:cs="Times New Roman"/>
          <w:color w:val="000000"/>
          <w:sz w:val="32"/>
          <w:szCs w:val="32"/>
        </w:rPr>
        <w:t>万元；</w:t>
      </w:r>
    </w:p>
    <w:p w14:paraId="7E164E17">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新建体育场地和校舍排危工程</w:t>
      </w:r>
      <w:r>
        <w:rPr>
          <w:rFonts w:ascii="Times New Roman" w:hAnsi="Times New Roman" w:eastAsia="仿宋_GB2312" w:cs="Times New Roman"/>
          <w:color w:val="000000"/>
          <w:sz w:val="32"/>
          <w:szCs w:val="32"/>
        </w:rPr>
        <w:t>。</w:t>
      </w:r>
    </w:p>
    <w:p w14:paraId="34AB8F04">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7.86</w:t>
      </w:r>
      <w:r>
        <w:rPr>
          <w:rFonts w:ascii="Times New Roman" w:hAnsi="Times New Roman" w:eastAsia="仿宋_GB2312" w:cs="Times New Roman"/>
          <w:color w:val="000000"/>
          <w:sz w:val="32"/>
          <w:szCs w:val="32"/>
        </w:rPr>
        <w:t>万元；</w:t>
      </w:r>
    </w:p>
    <w:p w14:paraId="045CAA82">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用于支付</w:t>
      </w:r>
      <w:r>
        <w:rPr>
          <w:rFonts w:hint="eastAsia" w:ascii="Times New Roman" w:hAnsi="Times New Roman" w:eastAsia="仿宋_GB2312" w:cs="Times New Roman"/>
          <w:color w:val="000000"/>
          <w:sz w:val="32"/>
          <w:szCs w:val="32"/>
          <w:lang w:val="en-US" w:eastAsia="zh-CN"/>
        </w:rPr>
        <w:t>结对帮扶干部经费</w:t>
      </w:r>
      <w:r>
        <w:rPr>
          <w:rFonts w:ascii="Times New Roman" w:hAnsi="Times New Roman" w:eastAsia="仿宋_GB2312" w:cs="Times New Roman"/>
          <w:color w:val="000000"/>
          <w:sz w:val="32"/>
          <w:szCs w:val="32"/>
        </w:rPr>
        <w:t>费用。</w:t>
      </w:r>
    </w:p>
    <w:p w14:paraId="2FE5E2BC">
      <w:pPr>
        <w:keepNext w:val="0"/>
        <w:keepLines w:val="0"/>
        <w:pageBreakBefore w:val="0"/>
        <w:widowControl w:val="0"/>
        <w:kinsoku/>
        <w:wordWrap/>
        <w:overflowPunct/>
        <w:topLinePunct w:val="0"/>
        <w:autoSpaceDE/>
        <w:autoSpaceDN/>
        <w:bidi w:val="0"/>
        <w:adjustRightInd/>
        <w:snapToGrid/>
        <w:spacing w:line="578" w:lineRule="exact"/>
        <w:ind w:left="0" w:leftChars="0" w:firstLine="600" w:firstLineChars="200"/>
        <w:jc w:val="left"/>
        <w:textAlignment w:val="auto"/>
        <w:rPr>
          <w:rFonts w:hint="eastAsia"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总体而言，我</w:t>
      </w:r>
      <w:r>
        <w:rPr>
          <w:rFonts w:hint="eastAsia" w:ascii="Times New Roman" w:hAnsi="Times New Roman" w:eastAsia="仿宋_GB2312" w:cs="Times New Roman"/>
          <w:color w:val="auto"/>
          <w:sz w:val="30"/>
          <w:szCs w:val="30"/>
          <w:lang w:val="en-US" w:eastAsia="zh-CN"/>
        </w:rPr>
        <w:t>校</w:t>
      </w:r>
      <w:r>
        <w:rPr>
          <w:rFonts w:hint="default" w:ascii="Times New Roman" w:hAnsi="Times New Roman" w:eastAsia="仿宋_GB2312" w:cs="Times New Roman"/>
          <w:color w:val="auto"/>
          <w:sz w:val="30"/>
          <w:szCs w:val="30"/>
          <w:lang w:val="en-US" w:eastAsia="zh-CN"/>
        </w:rPr>
        <w:t>预算绩效目标任务稳步推进</w:t>
      </w:r>
      <w:r>
        <w:rPr>
          <w:rFonts w:hint="eastAsia" w:ascii="Times New Roman" w:hAnsi="Times New Roman" w:eastAsia="仿宋_GB2312" w:cs="Times New Roman"/>
          <w:color w:val="auto"/>
          <w:sz w:val="30"/>
          <w:szCs w:val="30"/>
          <w:lang w:val="en-US" w:eastAsia="zh-CN"/>
        </w:rPr>
        <w:t>，学校正常运转，教育教学任务按计划逐步完成，学生学习成绩和综合素质进一步提高，制定了相关教学激励方案，加强了教师的培训，提高了教育教学质量，师资力量进一步提升，学校软硬件设施进一步完善。</w:t>
      </w:r>
    </w:p>
    <w:p w14:paraId="47AF0918">
      <w:pPr>
        <w:spacing w:line="578" w:lineRule="exact"/>
        <w:ind w:firstLine="320" w:firstLineChars="100"/>
        <w:jc w:val="left"/>
        <w:rPr>
          <w:rFonts w:ascii="Times New Roman" w:hAnsi="Times New Roman" w:eastAsia="仿宋_GB2312" w:cs="Times New Roman"/>
          <w:color w:val="000000"/>
          <w:sz w:val="32"/>
          <w:szCs w:val="32"/>
        </w:rPr>
      </w:pPr>
    </w:p>
    <w:p w14:paraId="7E2F34FD">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6F61E6AD">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183FF5D6">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2926.19</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2926.19</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33C0C74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2926.19</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2926.19</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607.86</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14:paraId="7A617B9D">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w:t>
      </w:r>
      <w:r>
        <w:rPr>
          <w:rFonts w:hint="eastAsia" w:ascii="Times New Roman" w:hAnsi="Times New Roman" w:eastAsia="仿宋_GB2312" w:cs="Times New Roman"/>
          <w:color w:val="000000"/>
          <w:sz w:val="32"/>
          <w:szCs w:val="32"/>
          <w:lang w:val="en-US" w:eastAsia="zh-CN"/>
        </w:rPr>
        <w:t>3387.53万</w:t>
      </w:r>
      <w:r>
        <w:rPr>
          <w:rFonts w:ascii="Times New Roman" w:hAnsi="Times New Roman" w:eastAsia="仿宋_GB2312" w:cs="Times New Roman"/>
          <w:color w:val="000000"/>
          <w:sz w:val="32"/>
          <w:szCs w:val="32"/>
        </w:rPr>
        <w:t>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w:t>
      </w:r>
    </w:p>
    <w:p w14:paraId="5CDEA6AF">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14:paraId="6A914568">
      <w:pPr>
        <w:numPr>
          <w:ilvl w:val="0"/>
          <w:numId w:val="2"/>
        </w:num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全年绩效目标预计完成情况</w:t>
      </w:r>
    </w:p>
    <w:p w14:paraId="6C605093">
      <w:pPr>
        <w:keepNext w:val="0"/>
        <w:keepLines w:val="0"/>
        <w:pageBreakBefore w:val="0"/>
        <w:kinsoku/>
        <w:wordWrap/>
        <w:overflowPunct/>
        <w:topLinePunct w:val="0"/>
        <w:autoSpaceDN/>
        <w:bidi w:val="0"/>
        <w:spacing w:line="578" w:lineRule="exact"/>
        <w:ind w:left="0" w:leftChars="0"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认真落实学校的教师教学研究工作，通过规范的教研制度、教研活动、培训学习活动、赛课、继续教育培训等各类活动，有效促进教师教育教学水平的提升；</w:t>
      </w:r>
      <w:r>
        <w:rPr>
          <w:rFonts w:hint="eastAsia" w:ascii="Times New Roman" w:hAnsi="Times New Roman" w:eastAsia="仿宋_GB2312" w:cs="Times New Roman"/>
          <w:color w:val="auto"/>
          <w:sz w:val="32"/>
          <w:szCs w:val="32"/>
        </w:rPr>
        <w:t> 按质按量完成市县教育局指定的我校教育教学方面的各项任务，完成</w:t>
      </w:r>
      <w:r>
        <w:rPr>
          <w:rFonts w:hint="eastAsia" w:ascii="Times New Roman" w:hAnsi="Times New Roman" w:eastAsia="仿宋_GB2312" w:cs="Times New Roman"/>
          <w:color w:val="auto"/>
          <w:sz w:val="32"/>
          <w:szCs w:val="32"/>
          <w:lang w:val="en-US" w:eastAsia="zh-CN"/>
        </w:rPr>
        <w:t>高初中</w:t>
      </w:r>
      <w:r>
        <w:rPr>
          <w:rFonts w:hint="eastAsia" w:ascii="Times New Roman" w:hAnsi="Times New Roman" w:eastAsia="仿宋_GB2312" w:cs="Times New Roman"/>
          <w:color w:val="auto"/>
          <w:sz w:val="32"/>
          <w:szCs w:val="32"/>
        </w:rPr>
        <w:t>招生培养计划，稳步提升教育教学质量</w:t>
      </w:r>
      <w:r>
        <w:rPr>
          <w:rFonts w:hint="eastAsia" w:ascii="Times New Roman" w:hAnsi="Times New Roman" w:eastAsia="仿宋_GB2312" w:cs="Times New Roman"/>
          <w:color w:val="auto"/>
          <w:sz w:val="32"/>
          <w:szCs w:val="32"/>
          <w:lang w:val="en-US" w:eastAsia="zh-CN"/>
        </w:rPr>
        <w:t>；在硬件设施上不断完善，提升学校基础设施设备的整体水平，加强学校基础设施设备的维护，确保校园安全，加强学校绿化、美化工作；完成</w:t>
      </w:r>
      <w:r>
        <w:rPr>
          <w:rFonts w:hint="eastAsia" w:ascii="Times New Roman" w:hAnsi="Times New Roman" w:eastAsia="仿宋_GB2312" w:cs="Times New Roman"/>
          <w:color w:val="000000"/>
          <w:sz w:val="32"/>
          <w:szCs w:val="32"/>
          <w:lang w:val="en-US" w:eastAsia="zh-CN"/>
        </w:rPr>
        <w:t>新建体育场地和校舍排危工程。</w:t>
      </w:r>
    </w:p>
    <w:p w14:paraId="319EB589">
      <w:pPr>
        <w:pStyle w:val="2"/>
        <w:numPr>
          <w:numId w:val="0"/>
        </w:numPr>
      </w:pPr>
    </w:p>
    <w:p w14:paraId="6A207835">
      <w:pPr>
        <w:pStyle w:val="5"/>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p>
    <w:p w14:paraId="6AA4C99F">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r>
        <w:rPr>
          <w:rFonts w:hint="eastAsia" w:ascii="微软雅黑" w:hAnsi="微软雅黑" w:eastAsia="微软雅黑" w:cs="微软雅黑"/>
          <w:color w:val="333333"/>
          <w:sz w:val="27"/>
          <w:szCs w:val="27"/>
          <w:shd w:val="clear" w:color="auto" w:fill="FFFFFF"/>
          <w:lang w:val="en-US" w:eastAsia="zh-CN"/>
        </w:rPr>
        <w:t xml:space="preserve">              </w:t>
      </w:r>
      <w:r>
        <w:rPr>
          <w:rFonts w:hint="eastAsia" w:ascii="微软雅黑" w:hAnsi="微软雅黑" w:eastAsia="微软雅黑" w:cs="微软雅黑"/>
          <w:color w:val="333333"/>
          <w:sz w:val="27"/>
          <w:szCs w:val="27"/>
          <w:shd w:val="clear" w:color="auto" w:fill="FFFFFF"/>
        </w:rPr>
        <w:t xml:space="preserve">  </w:t>
      </w:r>
      <w:r>
        <w:rPr>
          <w:rFonts w:hint="eastAsia" w:ascii="微软雅黑" w:hAnsi="微软雅黑" w:eastAsia="微软雅黑" w:cs="微软雅黑"/>
          <w:color w:val="333333"/>
          <w:sz w:val="27"/>
          <w:szCs w:val="27"/>
          <w:shd w:val="clear" w:color="auto" w:fill="FFFFFF"/>
          <w:lang w:val="en-US" w:eastAsia="zh-CN"/>
        </w:rPr>
        <w:t>四川省泸县第九中学</w:t>
      </w:r>
      <w:r>
        <w:rPr>
          <w:rFonts w:hint="eastAsia" w:ascii="微软雅黑" w:hAnsi="微软雅黑" w:eastAsia="微软雅黑" w:cs="微软雅黑"/>
          <w:color w:val="333333"/>
          <w:sz w:val="27"/>
          <w:szCs w:val="27"/>
          <w:shd w:val="clear" w:color="auto" w:fill="FFFFFF"/>
        </w:rPr>
        <w:t xml:space="preserve">                     </w:t>
      </w:r>
    </w:p>
    <w:p w14:paraId="770278B4">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26</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D9CF5"/>
    <w:multiLevelType w:val="singleLevel"/>
    <w:tmpl w:val="1C7D9CF5"/>
    <w:lvl w:ilvl="0" w:tentative="0">
      <w:start w:val="1"/>
      <w:numFmt w:val="chineseCounting"/>
      <w:suff w:val="nothing"/>
      <w:lvlText w:val="%1、"/>
      <w:lvlJc w:val="left"/>
      <w:rPr>
        <w:rFonts w:hint="eastAsia"/>
      </w:rPr>
    </w:lvl>
  </w:abstractNum>
  <w:abstractNum w:abstractNumId="1">
    <w:nsid w:val="2BCD3052"/>
    <w:multiLevelType w:val="singleLevel"/>
    <w:tmpl w:val="2BCD305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2NkZWY4Zjg2NTBjYmNlN2Q5Mzc2NTExY2QxOGQifQ=="/>
  </w:docVars>
  <w:rsids>
    <w:rsidRoot w:val="695038CD"/>
    <w:rsid w:val="00125C63"/>
    <w:rsid w:val="00184884"/>
    <w:rsid w:val="00233B3C"/>
    <w:rsid w:val="00904247"/>
    <w:rsid w:val="00E20344"/>
    <w:rsid w:val="02FD5B8E"/>
    <w:rsid w:val="039F489B"/>
    <w:rsid w:val="054D5714"/>
    <w:rsid w:val="16362871"/>
    <w:rsid w:val="1FFB398E"/>
    <w:rsid w:val="220F20AC"/>
    <w:rsid w:val="25583815"/>
    <w:rsid w:val="2AC25844"/>
    <w:rsid w:val="37223AF9"/>
    <w:rsid w:val="47605247"/>
    <w:rsid w:val="4C137A41"/>
    <w:rsid w:val="4C6F3D5B"/>
    <w:rsid w:val="4D116DB6"/>
    <w:rsid w:val="4F6F1F1D"/>
    <w:rsid w:val="56F2105C"/>
    <w:rsid w:val="5EFF5D56"/>
    <w:rsid w:val="630806B8"/>
    <w:rsid w:val="695038CD"/>
    <w:rsid w:val="6B2B25F7"/>
    <w:rsid w:val="71CC4637"/>
    <w:rsid w:val="763F9AF6"/>
    <w:rsid w:val="76FF3F3D"/>
    <w:rsid w:val="77FA7319"/>
    <w:rsid w:val="7C9F4C28"/>
    <w:rsid w:val="7E932368"/>
    <w:rsid w:val="7F195CCA"/>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858</Words>
  <Characters>956</Characters>
  <Lines>5</Lines>
  <Paragraphs>1</Paragraphs>
  <TotalTime>0</TotalTime>
  <ScaleCrop>false</ScaleCrop>
  <LinksUpToDate>false</LinksUpToDate>
  <CharactersWithSpaces>1047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梅苓</cp:lastModifiedBy>
  <cp:lastPrinted>2024-09-05T04:03:00Z</cp:lastPrinted>
  <dcterms:modified xsi:type="dcterms:W3CDTF">2024-09-26T01:47:15Z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